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7F2BA" w14:textId="77777777" w:rsidR="00BD2CBB" w:rsidRDefault="00E86874">
      <w:pPr>
        <w:pStyle w:val="BodyText"/>
        <w:rPr>
          <w:rFonts w:ascii="Times New Roman"/>
          <w:sz w:val="28"/>
        </w:rPr>
      </w:pPr>
      <w:r>
        <w:rPr>
          <w:noProof/>
        </w:rPr>
        <w:drawing>
          <wp:anchor distT="0" distB="0" distL="0" distR="0" simplePos="0" relativeHeight="15729152" behindDoc="0" locked="0" layoutInCell="1" allowOverlap="1" wp14:anchorId="2217F2D2" wp14:editId="2217F2D3">
            <wp:simplePos x="0" y="0"/>
            <wp:positionH relativeFrom="page">
              <wp:posOffset>5855012</wp:posOffset>
            </wp:positionH>
            <wp:positionV relativeFrom="page">
              <wp:posOffset>378177</wp:posOffset>
            </wp:positionV>
            <wp:extent cx="1317515" cy="90464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317515" cy="904643"/>
                    </a:xfrm>
                    <a:prstGeom prst="rect">
                      <a:avLst/>
                    </a:prstGeom>
                  </pic:spPr>
                </pic:pic>
              </a:graphicData>
            </a:graphic>
          </wp:anchor>
        </w:drawing>
      </w:r>
      <w:r>
        <w:rPr>
          <w:noProof/>
        </w:rPr>
        <w:drawing>
          <wp:anchor distT="0" distB="0" distL="0" distR="0" simplePos="0" relativeHeight="15729664" behindDoc="0" locked="0" layoutInCell="1" allowOverlap="1" wp14:anchorId="2217F2D4" wp14:editId="2217F2D5">
            <wp:simplePos x="0" y="0"/>
            <wp:positionH relativeFrom="page">
              <wp:posOffset>11429</wp:posOffset>
            </wp:positionH>
            <wp:positionV relativeFrom="page">
              <wp:posOffset>9281228</wp:posOffset>
            </wp:positionV>
            <wp:extent cx="7536395" cy="140292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7536395" cy="1402926"/>
                    </a:xfrm>
                    <a:prstGeom prst="rect">
                      <a:avLst/>
                    </a:prstGeom>
                  </pic:spPr>
                </pic:pic>
              </a:graphicData>
            </a:graphic>
          </wp:anchor>
        </w:drawing>
      </w:r>
    </w:p>
    <w:p w14:paraId="2217F2BB" w14:textId="77777777" w:rsidR="00BD2CBB" w:rsidRDefault="00BD2CBB">
      <w:pPr>
        <w:pStyle w:val="BodyText"/>
        <w:rPr>
          <w:rFonts w:ascii="Times New Roman"/>
          <w:sz w:val="28"/>
        </w:rPr>
      </w:pPr>
    </w:p>
    <w:p w14:paraId="2217F2BC" w14:textId="77777777" w:rsidR="00BD2CBB" w:rsidRDefault="00BD2CBB">
      <w:pPr>
        <w:pStyle w:val="BodyText"/>
        <w:spacing w:before="198"/>
        <w:rPr>
          <w:rFonts w:ascii="Times New Roman"/>
          <w:sz w:val="28"/>
        </w:rPr>
      </w:pPr>
    </w:p>
    <w:p w14:paraId="2217F2BD" w14:textId="77777777" w:rsidR="00BD2CBB" w:rsidRDefault="00E86874">
      <w:pPr>
        <w:pStyle w:val="Title"/>
      </w:pPr>
      <w:r>
        <w:t>Futures Complaint Handling Code self-assessment – Response</w:t>
      </w:r>
      <w:r>
        <w:rPr>
          <w:spacing w:val="-9"/>
        </w:rPr>
        <w:t xml:space="preserve"> </w:t>
      </w:r>
      <w:r>
        <w:t>from</w:t>
      </w:r>
      <w:r>
        <w:rPr>
          <w:spacing w:val="-5"/>
        </w:rPr>
        <w:t xml:space="preserve"> </w:t>
      </w:r>
      <w:r>
        <w:t>Member</w:t>
      </w:r>
      <w:r>
        <w:rPr>
          <w:spacing w:val="-5"/>
        </w:rPr>
        <w:t xml:space="preserve"> </w:t>
      </w:r>
      <w:r>
        <w:t>Responsible</w:t>
      </w:r>
      <w:r>
        <w:rPr>
          <w:spacing w:val="-9"/>
        </w:rPr>
        <w:t xml:space="preserve"> </w:t>
      </w:r>
      <w:r>
        <w:t>for</w:t>
      </w:r>
      <w:r>
        <w:rPr>
          <w:spacing w:val="-5"/>
        </w:rPr>
        <w:t xml:space="preserve"> </w:t>
      </w:r>
      <w:r>
        <w:t>Complaints</w:t>
      </w:r>
      <w:r>
        <w:rPr>
          <w:spacing w:val="-4"/>
        </w:rPr>
        <w:t xml:space="preserve"> </w:t>
      </w:r>
      <w:r>
        <w:t>and Insight Committee Chair on behalf of the Board</w:t>
      </w:r>
    </w:p>
    <w:p w14:paraId="2217F2BE" w14:textId="77777777" w:rsidR="00BD2CBB" w:rsidRDefault="00BD2CBB">
      <w:pPr>
        <w:pStyle w:val="BodyText"/>
        <w:spacing w:before="252"/>
        <w:rPr>
          <w:b/>
          <w:sz w:val="28"/>
        </w:rPr>
      </w:pPr>
    </w:p>
    <w:p w14:paraId="2217F2BF" w14:textId="77777777" w:rsidR="00BD2CBB" w:rsidRDefault="00E86874">
      <w:pPr>
        <w:pStyle w:val="BodyText"/>
        <w:ind w:left="200" w:right="224"/>
      </w:pPr>
      <w:r>
        <w:t>At</w:t>
      </w:r>
      <w:r>
        <w:rPr>
          <w:spacing w:val="-1"/>
        </w:rPr>
        <w:t xml:space="preserve"> </w:t>
      </w:r>
      <w:r>
        <w:t>Futures</w:t>
      </w:r>
      <w:r>
        <w:rPr>
          <w:spacing w:val="-2"/>
        </w:rPr>
        <w:t xml:space="preserve"> </w:t>
      </w:r>
      <w:r>
        <w:t>Housing Group,</w:t>
      </w:r>
      <w:r>
        <w:rPr>
          <w:spacing w:val="-1"/>
        </w:rPr>
        <w:t xml:space="preserve"> </w:t>
      </w:r>
      <w:r>
        <w:t>customers</w:t>
      </w:r>
      <w:r>
        <w:rPr>
          <w:spacing w:val="-7"/>
        </w:rPr>
        <w:t xml:space="preserve"> </w:t>
      </w:r>
      <w:r>
        <w:t>and their</w:t>
      </w:r>
      <w:r>
        <w:rPr>
          <w:spacing w:val="-8"/>
        </w:rPr>
        <w:t xml:space="preserve"> </w:t>
      </w:r>
      <w:r>
        <w:t>needs</w:t>
      </w:r>
      <w:r>
        <w:rPr>
          <w:spacing w:val="-2"/>
        </w:rPr>
        <w:t xml:space="preserve"> </w:t>
      </w:r>
      <w:r>
        <w:t>are at</w:t>
      </w:r>
      <w:r>
        <w:rPr>
          <w:spacing w:val="-1"/>
        </w:rPr>
        <w:t xml:space="preserve"> </w:t>
      </w:r>
      <w:r>
        <w:t>the</w:t>
      </w:r>
      <w:r>
        <w:rPr>
          <w:spacing w:val="-5"/>
        </w:rPr>
        <w:t xml:space="preserve"> </w:t>
      </w:r>
      <w:r>
        <w:t>heart</w:t>
      </w:r>
      <w:r>
        <w:rPr>
          <w:spacing w:val="-6"/>
        </w:rPr>
        <w:t xml:space="preserve"> </w:t>
      </w:r>
      <w:r>
        <w:t>of</w:t>
      </w:r>
      <w:r>
        <w:rPr>
          <w:spacing w:val="-6"/>
        </w:rPr>
        <w:t xml:space="preserve"> </w:t>
      </w:r>
      <w:r>
        <w:t>everything we do. Listening to customers experiences and feedback enables us to shape services that best serve customers and the communities in which they live. Customer complaints are one of the many ways that we can listen and learn from customers.</w:t>
      </w:r>
    </w:p>
    <w:p w14:paraId="2217F2C0" w14:textId="77777777" w:rsidR="00BD2CBB" w:rsidRDefault="00E86874">
      <w:pPr>
        <w:pStyle w:val="BodyText"/>
        <w:spacing w:before="250"/>
        <w:ind w:left="200" w:right="205" w:hanging="1"/>
      </w:pPr>
      <w:r>
        <w:t>We believe</w:t>
      </w:r>
      <w:r>
        <w:rPr>
          <w:spacing w:val="-4"/>
        </w:rPr>
        <w:t xml:space="preserve"> </w:t>
      </w:r>
      <w:r>
        <w:t>effective complaint</w:t>
      </w:r>
      <w:r>
        <w:rPr>
          <w:spacing w:val="-5"/>
        </w:rPr>
        <w:t xml:space="preserve"> </w:t>
      </w:r>
      <w:r>
        <w:t>handling is</w:t>
      </w:r>
      <w:r>
        <w:rPr>
          <w:spacing w:val="-6"/>
        </w:rPr>
        <w:t xml:space="preserve"> </w:t>
      </w:r>
      <w:r>
        <w:t>an essential</w:t>
      </w:r>
      <w:r>
        <w:rPr>
          <w:spacing w:val="-2"/>
        </w:rPr>
        <w:t xml:space="preserve"> </w:t>
      </w:r>
      <w:r>
        <w:t>part</w:t>
      </w:r>
      <w:r>
        <w:rPr>
          <w:spacing w:val="-5"/>
        </w:rPr>
        <w:t xml:space="preserve"> </w:t>
      </w:r>
      <w:r>
        <w:t>of</w:t>
      </w:r>
      <w:r>
        <w:rPr>
          <w:spacing w:val="-5"/>
        </w:rPr>
        <w:t xml:space="preserve"> </w:t>
      </w:r>
      <w:r>
        <w:t>our</w:t>
      </w:r>
      <w:r>
        <w:rPr>
          <w:spacing w:val="-3"/>
        </w:rPr>
        <w:t xml:space="preserve"> </w:t>
      </w:r>
      <w:r>
        <w:t>work, and</w:t>
      </w:r>
      <w:r>
        <w:rPr>
          <w:spacing w:val="-4"/>
        </w:rPr>
        <w:t xml:space="preserve"> </w:t>
      </w:r>
      <w:r>
        <w:t>it is</w:t>
      </w:r>
      <w:r>
        <w:rPr>
          <w:spacing w:val="-1"/>
        </w:rPr>
        <w:t xml:space="preserve"> </w:t>
      </w:r>
      <w:r>
        <w:t>managed by a dedicated in-house team. Where improvements are identified through an individual complaint or through several complaints with a similar root cause, they are recorded and tracked to make sure the improvements are delivered for customers.</w:t>
      </w:r>
    </w:p>
    <w:p w14:paraId="2217F2C1" w14:textId="77777777" w:rsidR="00BD2CBB" w:rsidRDefault="00BD2CBB">
      <w:pPr>
        <w:pStyle w:val="BodyText"/>
        <w:spacing w:before="2"/>
      </w:pPr>
    </w:p>
    <w:p w14:paraId="2217F2C2" w14:textId="77777777" w:rsidR="00BD2CBB" w:rsidRDefault="00E86874">
      <w:pPr>
        <w:pStyle w:val="BodyText"/>
        <w:ind w:left="200" w:right="48"/>
      </w:pPr>
      <w:r>
        <w:t xml:space="preserve">Our Insight Committee is a sub-committee of the Board and includes customers, Board representatives and an independent member. The Committee makes sure that Futures Housing Group complies with the Housing Ombudsman’s </w:t>
      </w:r>
      <w:r>
        <w:rPr>
          <w:i/>
        </w:rPr>
        <w:t xml:space="preserve">Complaint Handling Code </w:t>
      </w:r>
      <w:r>
        <w:t>as part of</w:t>
      </w:r>
      <w:r>
        <w:rPr>
          <w:spacing w:val="-7"/>
        </w:rPr>
        <w:t xml:space="preserve"> </w:t>
      </w:r>
      <w:r>
        <w:t>a</w:t>
      </w:r>
      <w:r>
        <w:rPr>
          <w:spacing w:val="-1"/>
        </w:rPr>
        <w:t xml:space="preserve"> </w:t>
      </w:r>
      <w:r>
        <w:t>suite</w:t>
      </w:r>
      <w:r>
        <w:rPr>
          <w:spacing w:val="-6"/>
        </w:rPr>
        <w:t xml:space="preserve"> </w:t>
      </w:r>
      <w:r>
        <w:t>of</w:t>
      </w:r>
      <w:r>
        <w:rPr>
          <w:spacing w:val="-7"/>
        </w:rPr>
        <w:t xml:space="preserve"> </w:t>
      </w:r>
      <w:r>
        <w:t>performance</w:t>
      </w:r>
      <w:r>
        <w:rPr>
          <w:spacing w:val="-1"/>
        </w:rPr>
        <w:t xml:space="preserve"> </w:t>
      </w:r>
      <w:r>
        <w:t>management</w:t>
      </w:r>
      <w:r>
        <w:rPr>
          <w:spacing w:val="-2"/>
        </w:rPr>
        <w:t xml:space="preserve"> </w:t>
      </w:r>
      <w:r>
        <w:t>responsibilities.</w:t>
      </w:r>
      <w:r>
        <w:rPr>
          <w:spacing w:val="-2"/>
        </w:rPr>
        <w:t xml:space="preserve"> </w:t>
      </w:r>
      <w:r>
        <w:t>Insight</w:t>
      </w:r>
      <w:r>
        <w:rPr>
          <w:spacing w:val="-2"/>
        </w:rPr>
        <w:t xml:space="preserve"> </w:t>
      </w:r>
      <w:r>
        <w:t>Committee</w:t>
      </w:r>
      <w:r>
        <w:rPr>
          <w:spacing w:val="-1"/>
        </w:rPr>
        <w:t xml:space="preserve"> </w:t>
      </w:r>
      <w:r>
        <w:t>reviewed</w:t>
      </w:r>
      <w:r>
        <w:rPr>
          <w:spacing w:val="-1"/>
        </w:rPr>
        <w:t xml:space="preserve"> </w:t>
      </w:r>
      <w:r>
        <w:t>our</w:t>
      </w:r>
      <w:r>
        <w:rPr>
          <w:spacing w:val="-5"/>
        </w:rPr>
        <w:t xml:space="preserve"> </w:t>
      </w:r>
      <w:r>
        <w:t>self- assessment</w:t>
      </w:r>
      <w:r>
        <w:rPr>
          <w:spacing w:val="-5"/>
        </w:rPr>
        <w:t xml:space="preserve"> </w:t>
      </w:r>
      <w:r>
        <w:t>against</w:t>
      </w:r>
      <w:r>
        <w:rPr>
          <w:spacing w:val="-5"/>
        </w:rPr>
        <w:t xml:space="preserve"> </w:t>
      </w:r>
      <w:r>
        <w:t>the code</w:t>
      </w:r>
      <w:r>
        <w:rPr>
          <w:spacing w:val="-4"/>
        </w:rPr>
        <w:t xml:space="preserve"> </w:t>
      </w:r>
      <w:r>
        <w:t>on</w:t>
      </w:r>
      <w:r>
        <w:rPr>
          <w:spacing w:val="-4"/>
        </w:rPr>
        <w:t xml:space="preserve"> </w:t>
      </w:r>
      <w:r>
        <w:t>13 March</w:t>
      </w:r>
      <w:r>
        <w:rPr>
          <w:spacing w:val="-4"/>
        </w:rPr>
        <w:t xml:space="preserve"> </w:t>
      </w:r>
      <w:r>
        <w:t>2025.</w:t>
      </w:r>
      <w:r>
        <w:rPr>
          <w:spacing w:val="-5"/>
        </w:rPr>
        <w:t xml:space="preserve"> </w:t>
      </w:r>
      <w:r>
        <w:t>This</w:t>
      </w:r>
      <w:r>
        <w:rPr>
          <w:spacing w:val="-1"/>
        </w:rPr>
        <w:t xml:space="preserve"> </w:t>
      </w:r>
      <w:r>
        <w:t>included scrutinising</w:t>
      </w:r>
      <w:r>
        <w:rPr>
          <w:spacing w:val="-4"/>
        </w:rPr>
        <w:t xml:space="preserve"> </w:t>
      </w:r>
      <w:r>
        <w:t>evidence</w:t>
      </w:r>
      <w:r>
        <w:rPr>
          <w:spacing w:val="-4"/>
        </w:rPr>
        <w:t xml:space="preserve"> </w:t>
      </w:r>
      <w:r>
        <w:t>against all nine sections, namely:</w:t>
      </w:r>
    </w:p>
    <w:p w14:paraId="2217F2C3" w14:textId="77777777" w:rsidR="00BD2CBB" w:rsidRDefault="00BD2CBB">
      <w:pPr>
        <w:pStyle w:val="BodyText"/>
      </w:pPr>
    </w:p>
    <w:p w14:paraId="2217F2C4" w14:textId="77777777" w:rsidR="00BD2CBB" w:rsidRDefault="00E86874">
      <w:pPr>
        <w:pStyle w:val="ListParagraph"/>
        <w:numPr>
          <w:ilvl w:val="0"/>
          <w:numId w:val="1"/>
        </w:numPr>
        <w:tabs>
          <w:tab w:val="left" w:pos="919"/>
        </w:tabs>
        <w:ind w:left="919" w:hanging="359"/>
      </w:pPr>
      <w:r>
        <w:t>Definition</w:t>
      </w:r>
      <w:r>
        <w:rPr>
          <w:spacing w:val="-4"/>
        </w:rPr>
        <w:t xml:space="preserve"> </w:t>
      </w:r>
      <w:r>
        <w:t>of</w:t>
      </w:r>
      <w:r>
        <w:rPr>
          <w:spacing w:val="-4"/>
        </w:rPr>
        <w:t xml:space="preserve"> </w:t>
      </w:r>
      <w:r>
        <w:t>a</w:t>
      </w:r>
      <w:r>
        <w:rPr>
          <w:spacing w:val="2"/>
        </w:rPr>
        <w:t xml:space="preserve"> </w:t>
      </w:r>
      <w:r>
        <w:rPr>
          <w:spacing w:val="-2"/>
        </w:rPr>
        <w:t>complaint</w:t>
      </w:r>
    </w:p>
    <w:p w14:paraId="2217F2C5" w14:textId="77777777" w:rsidR="00BD2CBB" w:rsidRDefault="00E86874">
      <w:pPr>
        <w:pStyle w:val="ListParagraph"/>
        <w:numPr>
          <w:ilvl w:val="0"/>
          <w:numId w:val="1"/>
        </w:numPr>
        <w:tabs>
          <w:tab w:val="left" w:pos="919"/>
        </w:tabs>
        <w:ind w:left="919" w:hanging="359"/>
      </w:pPr>
      <w:r>
        <w:rPr>
          <w:spacing w:val="-2"/>
        </w:rPr>
        <w:t>Exclusions</w:t>
      </w:r>
    </w:p>
    <w:p w14:paraId="2217F2C6" w14:textId="77777777" w:rsidR="00BD2CBB" w:rsidRDefault="00E86874">
      <w:pPr>
        <w:pStyle w:val="ListParagraph"/>
        <w:numPr>
          <w:ilvl w:val="0"/>
          <w:numId w:val="1"/>
        </w:numPr>
        <w:tabs>
          <w:tab w:val="left" w:pos="919"/>
        </w:tabs>
        <w:spacing w:before="1" w:line="240" w:lineRule="auto"/>
        <w:ind w:left="919" w:hanging="359"/>
      </w:pPr>
      <w:r>
        <w:t>Accessibility</w:t>
      </w:r>
      <w:r>
        <w:rPr>
          <w:spacing w:val="-5"/>
        </w:rPr>
        <w:t xml:space="preserve"> </w:t>
      </w:r>
      <w:r>
        <w:t>and</w:t>
      </w:r>
      <w:r>
        <w:rPr>
          <w:spacing w:val="-6"/>
        </w:rPr>
        <w:t xml:space="preserve"> </w:t>
      </w:r>
      <w:r>
        <w:rPr>
          <w:spacing w:val="-2"/>
        </w:rPr>
        <w:t>awareness</w:t>
      </w:r>
    </w:p>
    <w:p w14:paraId="2217F2C7" w14:textId="77777777" w:rsidR="00BD2CBB" w:rsidRDefault="00E86874">
      <w:pPr>
        <w:pStyle w:val="ListParagraph"/>
        <w:numPr>
          <w:ilvl w:val="0"/>
          <w:numId w:val="1"/>
        </w:numPr>
        <w:tabs>
          <w:tab w:val="left" w:pos="919"/>
        </w:tabs>
        <w:spacing w:before="2" w:line="240" w:lineRule="auto"/>
        <w:ind w:left="919" w:hanging="359"/>
      </w:pPr>
      <w:r>
        <w:t>Complaint</w:t>
      </w:r>
      <w:r>
        <w:rPr>
          <w:spacing w:val="-10"/>
        </w:rPr>
        <w:t xml:space="preserve"> </w:t>
      </w:r>
      <w:r>
        <w:t>handling</w:t>
      </w:r>
      <w:r>
        <w:rPr>
          <w:spacing w:val="-6"/>
        </w:rPr>
        <w:t xml:space="preserve"> </w:t>
      </w:r>
      <w:r>
        <w:rPr>
          <w:spacing w:val="-4"/>
        </w:rPr>
        <w:t>staff</w:t>
      </w:r>
    </w:p>
    <w:p w14:paraId="2217F2C8" w14:textId="77777777" w:rsidR="00BD2CBB" w:rsidRDefault="00E86874">
      <w:pPr>
        <w:pStyle w:val="ListParagraph"/>
        <w:numPr>
          <w:ilvl w:val="0"/>
          <w:numId w:val="1"/>
        </w:numPr>
        <w:tabs>
          <w:tab w:val="left" w:pos="919"/>
        </w:tabs>
        <w:spacing w:before="1"/>
        <w:ind w:left="919" w:hanging="359"/>
      </w:pPr>
      <w:r>
        <w:t>The</w:t>
      </w:r>
      <w:r>
        <w:rPr>
          <w:spacing w:val="-4"/>
        </w:rPr>
        <w:t xml:space="preserve"> </w:t>
      </w:r>
      <w:r>
        <w:t>complaint</w:t>
      </w:r>
      <w:r>
        <w:rPr>
          <w:spacing w:val="-8"/>
        </w:rPr>
        <w:t xml:space="preserve"> </w:t>
      </w:r>
      <w:r>
        <w:t>handling</w:t>
      </w:r>
      <w:r>
        <w:rPr>
          <w:spacing w:val="-7"/>
        </w:rPr>
        <w:t xml:space="preserve"> </w:t>
      </w:r>
      <w:r>
        <w:rPr>
          <w:spacing w:val="-2"/>
        </w:rPr>
        <w:t>process</w:t>
      </w:r>
    </w:p>
    <w:p w14:paraId="2217F2C9" w14:textId="77777777" w:rsidR="00BD2CBB" w:rsidRDefault="00E86874">
      <w:pPr>
        <w:pStyle w:val="ListParagraph"/>
        <w:numPr>
          <w:ilvl w:val="0"/>
          <w:numId w:val="1"/>
        </w:numPr>
        <w:tabs>
          <w:tab w:val="left" w:pos="918"/>
        </w:tabs>
        <w:ind w:left="918" w:hanging="359"/>
      </w:pPr>
      <w:r>
        <w:t>Complaint</w:t>
      </w:r>
      <w:r>
        <w:rPr>
          <w:spacing w:val="-6"/>
        </w:rPr>
        <w:t xml:space="preserve"> </w:t>
      </w:r>
      <w:r>
        <w:rPr>
          <w:spacing w:val="-2"/>
        </w:rPr>
        <w:t>stages</w:t>
      </w:r>
    </w:p>
    <w:p w14:paraId="2217F2CA" w14:textId="77777777" w:rsidR="00BD2CBB" w:rsidRDefault="00E86874">
      <w:pPr>
        <w:pStyle w:val="ListParagraph"/>
        <w:numPr>
          <w:ilvl w:val="0"/>
          <w:numId w:val="1"/>
        </w:numPr>
        <w:tabs>
          <w:tab w:val="left" w:pos="918"/>
        </w:tabs>
        <w:spacing w:before="2" w:line="240" w:lineRule="auto"/>
        <w:ind w:left="918" w:hanging="359"/>
      </w:pPr>
      <w:r>
        <w:t>Putting</w:t>
      </w:r>
      <w:r>
        <w:rPr>
          <w:spacing w:val="-4"/>
        </w:rPr>
        <w:t xml:space="preserve"> </w:t>
      </w:r>
      <w:r>
        <w:t>things</w:t>
      </w:r>
      <w:r>
        <w:rPr>
          <w:spacing w:val="-4"/>
        </w:rPr>
        <w:t xml:space="preserve"> </w:t>
      </w:r>
      <w:r>
        <w:rPr>
          <w:spacing w:val="-2"/>
        </w:rPr>
        <w:t>right</w:t>
      </w:r>
    </w:p>
    <w:p w14:paraId="2217F2CB" w14:textId="77777777" w:rsidR="00BD2CBB" w:rsidRDefault="00E86874">
      <w:pPr>
        <w:pStyle w:val="ListParagraph"/>
        <w:numPr>
          <w:ilvl w:val="0"/>
          <w:numId w:val="1"/>
        </w:numPr>
        <w:tabs>
          <w:tab w:val="left" w:pos="918"/>
        </w:tabs>
        <w:spacing w:before="1"/>
        <w:ind w:left="918" w:hanging="359"/>
      </w:pPr>
      <w:r>
        <w:t>Self-assessment,</w:t>
      </w:r>
      <w:r>
        <w:rPr>
          <w:spacing w:val="-6"/>
        </w:rPr>
        <w:t xml:space="preserve"> </w:t>
      </w:r>
      <w:r>
        <w:t>reporting</w:t>
      </w:r>
      <w:r>
        <w:rPr>
          <w:spacing w:val="-8"/>
        </w:rPr>
        <w:t xml:space="preserve"> </w:t>
      </w:r>
      <w:r>
        <w:t>and</w:t>
      </w:r>
      <w:r>
        <w:rPr>
          <w:spacing w:val="-4"/>
        </w:rPr>
        <w:t xml:space="preserve"> </w:t>
      </w:r>
      <w:r>
        <w:rPr>
          <w:spacing w:val="-2"/>
        </w:rPr>
        <w:t>compliance</w:t>
      </w:r>
    </w:p>
    <w:p w14:paraId="2217F2CC" w14:textId="77777777" w:rsidR="00BD2CBB" w:rsidRDefault="00E86874">
      <w:pPr>
        <w:pStyle w:val="ListParagraph"/>
        <w:numPr>
          <w:ilvl w:val="0"/>
          <w:numId w:val="1"/>
        </w:numPr>
        <w:tabs>
          <w:tab w:val="left" w:pos="918"/>
        </w:tabs>
        <w:ind w:left="918" w:hanging="359"/>
      </w:pPr>
      <w:r>
        <w:t>Scrutiny</w:t>
      </w:r>
      <w:r>
        <w:rPr>
          <w:spacing w:val="-11"/>
        </w:rPr>
        <w:t xml:space="preserve"> </w:t>
      </w:r>
      <w:r>
        <w:t>and</w:t>
      </w:r>
      <w:r>
        <w:rPr>
          <w:spacing w:val="-7"/>
        </w:rPr>
        <w:t xml:space="preserve"> </w:t>
      </w:r>
      <w:r>
        <w:t>oversight:</w:t>
      </w:r>
      <w:r>
        <w:rPr>
          <w:spacing w:val="-3"/>
        </w:rPr>
        <w:t xml:space="preserve"> </w:t>
      </w:r>
      <w:r>
        <w:t>continuous</w:t>
      </w:r>
      <w:r>
        <w:rPr>
          <w:spacing w:val="-9"/>
        </w:rPr>
        <w:t xml:space="preserve"> </w:t>
      </w:r>
      <w:r>
        <w:t>learning</w:t>
      </w:r>
      <w:r>
        <w:rPr>
          <w:spacing w:val="-2"/>
        </w:rPr>
        <w:t xml:space="preserve"> </w:t>
      </w:r>
      <w:r>
        <w:t>and</w:t>
      </w:r>
      <w:r>
        <w:rPr>
          <w:spacing w:val="-6"/>
        </w:rPr>
        <w:t xml:space="preserve"> </w:t>
      </w:r>
      <w:r>
        <w:rPr>
          <w:spacing w:val="-2"/>
        </w:rPr>
        <w:t>improvement.</w:t>
      </w:r>
    </w:p>
    <w:p w14:paraId="2217F2CD" w14:textId="77777777" w:rsidR="00BD2CBB" w:rsidRDefault="00BD2CBB">
      <w:pPr>
        <w:pStyle w:val="BodyText"/>
        <w:spacing w:before="3"/>
      </w:pPr>
    </w:p>
    <w:p w14:paraId="2217F2CE" w14:textId="77777777" w:rsidR="00BD2CBB" w:rsidRDefault="00E86874">
      <w:pPr>
        <w:pStyle w:val="BodyText"/>
        <w:ind w:left="199" w:right="48"/>
      </w:pPr>
      <w:r>
        <w:t>Based on this review</w:t>
      </w:r>
      <w:r>
        <w:rPr>
          <w:spacing w:val="-1"/>
        </w:rPr>
        <w:t xml:space="preserve"> </w:t>
      </w:r>
      <w:r>
        <w:t>the Committee is satisfied we currently comply with the Code. We are using</w:t>
      </w:r>
      <w:r>
        <w:rPr>
          <w:spacing w:val="-5"/>
        </w:rPr>
        <w:t xml:space="preserve"> </w:t>
      </w:r>
      <w:r>
        <w:t>learning from</w:t>
      </w:r>
      <w:r>
        <w:rPr>
          <w:spacing w:val="-8"/>
        </w:rPr>
        <w:t xml:space="preserve"> </w:t>
      </w:r>
      <w:r>
        <w:t>complaints</w:t>
      </w:r>
      <w:r>
        <w:rPr>
          <w:spacing w:val="-2"/>
        </w:rPr>
        <w:t xml:space="preserve"> </w:t>
      </w:r>
      <w:r>
        <w:t>positively</w:t>
      </w:r>
      <w:r>
        <w:rPr>
          <w:spacing w:val="-7"/>
        </w:rPr>
        <w:t xml:space="preserve"> </w:t>
      </w:r>
      <w:r>
        <w:t>to</w:t>
      </w:r>
      <w:r>
        <w:rPr>
          <w:spacing w:val="-5"/>
        </w:rPr>
        <w:t xml:space="preserve"> </w:t>
      </w:r>
      <w:r>
        <w:t>support</w:t>
      </w:r>
      <w:r>
        <w:rPr>
          <w:spacing w:val="-1"/>
        </w:rPr>
        <w:t xml:space="preserve"> </w:t>
      </w:r>
      <w:r>
        <w:t>continuous</w:t>
      </w:r>
      <w:r>
        <w:rPr>
          <w:spacing w:val="-2"/>
        </w:rPr>
        <w:t xml:space="preserve"> </w:t>
      </w:r>
      <w:r>
        <w:t>improvement</w:t>
      </w:r>
      <w:r>
        <w:rPr>
          <w:spacing w:val="-1"/>
        </w:rPr>
        <w:t xml:space="preserve"> </w:t>
      </w:r>
      <w:r>
        <w:t>in our</w:t>
      </w:r>
      <w:r>
        <w:rPr>
          <w:spacing w:val="-4"/>
        </w:rPr>
        <w:t xml:space="preserve"> </w:t>
      </w:r>
      <w:r>
        <w:t>handling of complaints and service delivery.</w:t>
      </w:r>
    </w:p>
    <w:p w14:paraId="2217F2CF" w14:textId="77777777" w:rsidR="00BD2CBB" w:rsidRDefault="00E86874">
      <w:pPr>
        <w:pStyle w:val="BodyText"/>
        <w:spacing w:before="3"/>
        <w:rPr>
          <w:sz w:val="4"/>
        </w:rPr>
      </w:pPr>
      <w:r>
        <w:rPr>
          <w:noProof/>
        </w:rPr>
        <w:drawing>
          <wp:anchor distT="0" distB="0" distL="0" distR="0" simplePos="0" relativeHeight="487587840" behindDoc="1" locked="0" layoutInCell="1" allowOverlap="1" wp14:anchorId="2217F2D6" wp14:editId="2217F2D7">
            <wp:simplePos x="0" y="0"/>
            <wp:positionH relativeFrom="page">
              <wp:posOffset>862583</wp:posOffset>
            </wp:positionH>
            <wp:positionV relativeFrom="paragraph">
              <wp:posOffset>46379</wp:posOffset>
            </wp:positionV>
            <wp:extent cx="1755647" cy="45720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755647" cy="457200"/>
                    </a:xfrm>
                    <a:prstGeom prst="rect">
                      <a:avLst/>
                    </a:prstGeom>
                  </pic:spPr>
                </pic:pic>
              </a:graphicData>
            </a:graphic>
          </wp:anchor>
        </w:drawing>
      </w:r>
    </w:p>
    <w:p w14:paraId="2217F2D0" w14:textId="77777777" w:rsidR="00BD2CBB" w:rsidRDefault="00E86874">
      <w:pPr>
        <w:pStyle w:val="BodyText"/>
        <w:ind w:left="199"/>
      </w:pPr>
      <w:r>
        <w:t>Jackie</w:t>
      </w:r>
      <w:r>
        <w:rPr>
          <w:spacing w:val="-7"/>
        </w:rPr>
        <w:t xml:space="preserve"> </w:t>
      </w:r>
      <w:r>
        <w:rPr>
          <w:spacing w:val="-2"/>
        </w:rPr>
        <w:t>Perry</w:t>
      </w:r>
    </w:p>
    <w:p w14:paraId="2217F2D1" w14:textId="77777777" w:rsidR="00BD2CBB" w:rsidRDefault="00E86874">
      <w:pPr>
        <w:pStyle w:val="BodyText"/>
        <w:spacing w:line="477" w:lineRule="auto"/>
        <w:ind w:left="199" w:right="205"/>
      </w:pPr>
      <w:r>
        <w:t>Board member</w:t>
      </w:r>
      <w:r>
        <w:rPr>
          <w:spacing w:val="-3"/>
        </w:rPr>
        <w:t xml:space="preserve"> </w:t>
      </w:r>
      <w:r>
        <w:t>/</w:t>
      </w:r>
      <w:r>
        <w:rPr>
          <w:spacing w:val="-5"/>
        </w:rPr>
        <w:t xml:space="preserve"> </w:t>
      </w:r>
      <w:r>
        <w:t>Chair</w:t>
      </w:r>
      <w:r>
        <w:rPr>
          <w:spacing w:val="-3"/>
        </w:rPr>
        <w:t xml:space="preserve"> </w:t>
      </w:r>
      <w:r>
        <w:t>of</w:t>
      </w:r>
      <w:r>
        <w:rPr>
          <w:spacing w:val="-5"/>
        </w:rPr>
        <w:t xml:space="preserve"> </w:t>
      </w:r>
      <w:r>
        <w:t>Insight Committee</w:t>
      </w:r>
      <w:r>
        <w:rPr>
          <w:spacing w:val="-4"/>
        </w:rPr>
        <w:t xml:space="preserve"> </w:t>
      </w:r>
      <w:r>
        <w:t>/ Member</w:t>
      </w:r>
      <w:r>
        <w:rPr>
          <w:spacing w:val="-3"/>
        </w:rPr>
        <w:t xml:space="preserve"> </w:t>
      </w:r>
      <w:r>
        <w:t>Responsible for</w:t>
      </w:r>
      <w:r>
        <w:rPr>
          <w:spacing w:val="-3"/>
        </w:rPr>
        <w:t xml:space="preserve"> </w:t>
      </w:r>
      <w:r>
        <w:t>Complaints</w:t>
      </w:r>
      <w:r>
        <w:rPr>
          <w:spacing w:val="-6"/>
        </w:rPr>
        <w:t xml:space="preserve"> </w:t>
      </w:r>
      <w:r>
        <w:t>(MRC) 31 March 2025</w:t>
      </w:r>
    </w:p>
    <w:sectPr w:rsidR="00BD2CBB">
      <w:type w:val="continuous"/>
      <w:pgSz w:w="11910" w:h="16840"/>
      <w:pgMar w:top="580" w:right="1380" w:bottom="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70292"/>
    <w:multiLevelType w:val="hybridMultilevel"/>
    <w:tmpl w:val="B88A1ABA"/>
    <w:lvl w:ilvl="0" w:tplc="ACCC8D68">
      <w:start w:val="1"/>
      <w:numFmt w:val="decimal"/>
      <w:lvlText w:val="%1."/>
      <w:lvlJc w:val="left"/>
      <w:pPr>
        <w:ind w:left="920" w:hanging="360"/>
        <w:jc w:val="left"/>
      </w:pPr>
      <w:rPr>
        <w:rFonts w:ascii="Arial" w:eastAsia="Arial" w:hAnsi="Arial" w:cs="Arial" w:hint="default"/>
        <w:b w:val="0"/>
        <w:bCs w:val="0"/>
        <w:i w:val="0"/>
        <w:iCs w:val="0"/>
        <w:spacing w:val="0"/>
        <w:w w:val="100"/>
        <w:sz w:val="22"/>
        <w:szCs w:val="22"/>
        <w:lang w:val="en-US" w:eastAsia="en-US" w:bidi="ar-SA"/>
      </w:rPr>
    </w:lvl>
    <w:lvl w:ilvl="1" w:tplc="6794EEE4">
      <w:numFmt w:val="bullet"/>
      <w:lvlText w:val="•"/>
      <w:lvlJc w:val="left"/>
      <w:pPr>
        <w:ind w:left="1756" w:hanging="360"/>
      </w:pPr>
      <w:rPr>
        <w:rFonts w:hint="default"/>
        <w:lang w:val="en-US" w:eastAsia="en-US" w:bidi="ar-SA"/>
      </w:rPr>
    </w:lvl>
    <w:lvl w:ilvl="2" w:tplc="41D62FE0">
      <w:numFmt w:val="bullet"/>
      <w:lvlText w:val="•"/>
      <w:lvlJc w:val="left"/>
      <w:pPr>
        <w:ind w:left="2592" w:hanging="360"/>
      </w:pPr>
      <w:rPr>
        <w:rFonts w:hint="default"/>
        <w:lang w:val="en-US" w:eastAsia="en-US" w:bidi="ar-SA"/>
      </w:rPr>
    </w:lvl>
    <w:lvl w:ilvl="3" w:tplc="331C0EBA">
      <w:numFmt w:val="bullet"/>
      <w:lvlText w:val="•"/>
      <w:lvlJc w:val="left"/>
      <w:pPr>
        <w:ind w:left="3429" w:hanging="360"/>
      </w:pPr>
      <w:rPr>
        <w:rFonts w:hint="default"/>
        <w:lang w:val="en-US" w:eastAsia="en-US" w:bidi="ar-SA"/>
      </w:rPr>
    </w:lvl>
    <w:lvl w:ilvl="4" w:tplc="478C528A">
      <w:numFmt w:val="bullet"/>
      <w:lvlText w:val="•"/>
      <w:lvlJc w:val="left"/>
      <w:pPr>
        <w:ind w:left="4265" w:hanging="360"/>
      </w:pPr>
      <w:rPr>
        <w:rFonts w:hint="default"/>
        <w:lang w:val="en-US" w:eastAsia="en-US" w:bidi="ar-SA"/>
      </w:rPr>
    </w:lvl>
    <w:lvl w:ilvl="5" w:tplc="F642D8EE">
      <w:numFmt w:val="bullet"/>
      <w:lvlText w:val="•"/>
      <w:lvlJc w:val="left"/>
      <w:pPr>
        <w:ind w:left="5102" w:hanging="360"/>
      </w:pPr>
      <w:rPr>
        <w:rFonts w:hint="default"/>
        <w:lang w:val="en-US" w:eastAsia="en-US" w:bidi="ar-SA"/>
      </w:rPr>
    </w:lvl>
    <w:lvl w:ilvl="6" w:tplc="9A66E1C8">
      <w:numFmt w:val="bullet"/>
      <w:lvlText w:val="•"/>
      <w:lvlJc w:val="left"/>
      <w:pPr>
        <w:ind w:left="5938" w:hanging="360"/>
      </w:pPr>
      <w:rPr>
        <w:rFonts w:hint="default"/>
        <w:lang w:val="en-US" w:eastAsia="en-US" w:bidi="ar-SA"/>
      </w:rPr>
    </w:lvl>
    <w:lvl w:ilvl="7" w:tplc="41724764">
      <w:numFmt w:val="bullet"/>
      <w:lvlText w:val="•"/>
      <w:lvlJc w:val="left"/>
      <w:pPr>
        <w:ind w:left="6774" w:hanging="360"/>
      </w:pPr>
      <w:rPr>
        <w:rFonts w:hint="default"/>
        <w:lang w:val="en-US" w:eastAsia="en-US" w:bidi="ar-SA"/>
      </w:rPr>
    </w:lvl>
    <w:lvl w:ilvl="8" w:tplc="4184C8A0">
      <w:numFmt w:val="bullet"/>
      <w:lvlText w:val="•"/>
      <w:lvlJc w:val="left"/>
      <w:pPr>
        <w:ind w:left="7611" w:hanging="360"/>
      </w:pPr>
      <w:rPr>
        <w:rFonts w:hint="default"/>
        <w:lang w:val="en-US" w:eastAsia="en-US" w:bidi="ar-SA"/>
      </w:rPr>
    </w:lvl>
  </w:abstractNum>
  <w:num w:numId="1" w16cid:durableId="105273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BB"/>
    <w:rsid w:val="00B65898"/>
    <w:rsid w:val="00BD2CBB"/>
    <w:rsid w:val="00E86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F2BA"/>
  <w15:docId w15:val="{297139DA-DA9D-4BF7-8671-D7170177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99" w:right="755"/>
    </w:pPr>
    <w:rPr>
      <w:b/>
      <w:bCs/>
      <w:sz w:val="28"/>
      <w:szCs w:val="28"/>
    </w:rPr>
  </w:style>
  <w:style w:type="paragraph" w:styleId="ListParagraph">
    <w:name w:val="List Paragraph"/>
    <w:basedOn w:val="Normal"/>
    <w:uiPriority w:val="1"/>
    <w:qFormat/>
    <w:pPr>
      <w:spacing w:line="251" w:lineRule="exact"/>
      <w:ind w:left="91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Stefan</dc:creator>
  <dc:description/>
  <cp:lastModifiedBy>Price, Jordan</cp:lastModifiedBy>
  <cp:revision>2</cp:revision>
  <dcterms:created xsi:type="dcterms:W3CDTF">2025-04-14T08:45:00Z</dcterms:created>
  <dcterms:modified xsi:type="dcterms:W3CDTF">2025-04-14T08:45:00Z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0x010100DC17DD1CB744724097C56FD1D4947AF5</vt:lpwstr>
  </property>
  <property fmtid="{D5CDD505-2E9C-101B-9397-08002B2CF9AE}" pid="3" name="Created">
    <vt:filetime>2025-04-14T00:00:00Z</vt:filetime>
  </property>
  <property fmtid="{D5CDD505-2E9C-101B-9397-08002B2CF9AE}" pid="4" name="Creator">
    <vt:lpwstr>Acrobat PDFMaker 25 for Word</vt:lpwstr>
  </property>
  <property fmtid="{D5CDD505-2E9C-101B-9397-08002B2CF9AE}" pid="5" name="LastSaved">
    <vt:filetime>2025-04-14T00:00:00Z</vt:filetime>
  </property>
  <property fmtid="{D5CDD505-2E9C-101B-9397-08002B2CF9AE}" pid="6" name="MediaServiceImageTags">
    <vt:lpwstr/>
  </property>
  <property fmtid="{D5CDD505-2E9C-101B-9397-08002B2CF9AE}" pid="7" name="Producer">
    <vt:lpwstr>Adobe PDF Library 25.1.211</vt:lpwstr>
  </property>
  <property fmtid="{D5CDD505-2E9C-101B-9397-08002B2CF9AE}" pid="8" name="SourceModified">
    <vt:lpwstr/>
  </property>
</Properties>
</file>